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bookmarkStart w:id="0" w:name="_GoBack"/>
      <w:bookmarkEnd w:id="0"/>
      <w:r w:rsidRPr="00D732E6">
        <w:rPr>
          <w:rFonts w:cs="B Zar"/>
          <w:noProof/>
          <w:sz w:val="24"/>
          <w:szCs w:val="24"/>
          <w:rtl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0356AB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 د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F22862" w:rsidP="00C376A8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0FAFF" id="Rectangle 1" o:spid="_x0000_s1026" style="position:absolute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    </w:pict>
          </mc:Fallback>
        </mc:AlternateConten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</w:t>
      </w:r>
      <w:r w:rsidR="00C376A8">
        <w:rPr>
          <w:rFonts w:cs="B Zar" w:hint="cs"/>
          <w:sz w:val="24"/>
          <w:szCs w:val="24"/>
          <w:rtl/>
          <w:lang w:bidi="fa-IR"/>
        </w:rPr>
        <w:t>و نام خانوادگي مدرس:           دکتر حمیدرضا جمیلیان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آخرين مدرك تحصيلي:            </w:t>
      </w:r>
      <w:r w:rsidR="00C376A8">
        <w:rPr>
          <w:rFonts w:cs="B Zar" w:hint="cs"/>
          <w:sz w:val="24"/>
          <w:szCs w:val="24"/>
          <w:rtl/>
          <w:lang w:bidi="fa-IR"/>
        </w:rPr>
        <w:t>بورد 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رشته تحصيلي:          </w:t>
      </w:r>
      <w:r w:rsidR="00C376A8">
        <w:rPr>
          <w:rFonts w:cs="B Zar" w:hint="cs"/>
          <w:sz w:val="24"/>
          <w:szCs w:val="24"/>
          <w:rtl/>
          <w:lang w:bidi="fa-IR"/>
        </w:rPr>
        <w:t>روانپزشکی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مرتبه علمی:     </w:t>
      </w:r>
      <w:r w:rsidR="00C376A8">
        <w:rPr>
          <w:rFonts w:cs="B Zar" w:hint="cs"/>
          <w:sz w:val="24"/>
          <w:szCs w:val="24"/>
          <w:rtl/>
          <w:lang w:bidi="fa-IR"/>
        </w:rPr>
        <w:t>دانشیار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گروه آموزشي:      </w:t>
      </w:r>
      <w:r w:rsidR="00C376A8">
        <w:rPr>
          <w:rFonts w:cs="B Zar" w:hint="cs"/>
          <w:sz w:val="24"/>
          <w:szCs w:val="24"/>
          <w:rtl/>
          <w:lang w:bidi="fa-IR"/>
        </w:rPr>
        <w:t>روانپزشکی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نام دانشكده:           </w:t>
      </w:r>
      <w:r w:rsidR="00C376A8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    </w:t>
      </w:r>
      <w:r w:rsidR="00C376A8">
        <w:rPr>
          <w:rFonts w:cs="B Zar" w:hint="cs"/>
          <w:sz w:val="24"/>
          <w:szCs w:val="24"/>
          <w:rtl/>
          <w:lang w:bidi="fa-IR"/>
        </w:rPr>
        <w:t xml:space="preserve">پزشکی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مقطع:      </w:t>
      </w:r>
      <w:r w:rsidR="00C376A8">
        <w:rPr>
          <w:rFonts w:cs="B Zar" w:hint="cs"/>
          <w:sz w:val="24"/>
          <w:szCs w:val="24"/>
          <w:rtl/>
          <w:lang w:bidi="fa-IR"/>
        </w:rPr>
        <w:t>کاراموزی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</w:t>
      </w:r>
    </w:p>
    <w:p w:rsidR="000356AB" w:rsidRDefault="000356AB" w:rsidP="000356AB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     </w:t>
      </w:r>
      <w:r w:rsidR="00C376A8">
        <w:rPr>
          <w:rFonts w:cs="B Zar" w:hint="cs"/>
          <w:sz w:val="24"/>
          <w:szCs w:val="24"/>
          <w:rtl/>
          <w:lang w:bidi="fa-IR"/>
        </w:rPr>
        <w:t>بیماریهای روانپزشکی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تعداد واحد:     </w:t>
      </w:r>
      <w:r w:rsidR="00C376A8">
        <w:rPr>
          <w:rFonts w:cs="B Zar" w:hint="cs"/>
          <w:sz w:val="24"/>
          <w:szCs w:val="24"/>
          <w:rtl/>
          <w:lang w:bidi="fa-IR"/>
        </w:rPr>
        <w:t>2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تعداد جلسه:    </w:t>
      </w:r>
      <w:r w:rsidR="00C376A8">
        <w:rPr>
          <w:rFonts w:cs="B Zar" w:hint="cs"/>
          <w:sz w:val="24"/>
          <w:szCs w:val="24"/>
          <w:rtl/>
          <w:lang w:bidi="fa-IR"/>
        </w:rPr>
        <w:t>17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محل تدریس:</w:t>
      </w:r>
      <w:r w:rsidR="00C376A8">
        <w:rPr>
          <w:rFonts w:cs="B Zar" w:hint="cs"/>
          <w:sz w:val="24"/>
          <w:szCs w:val="24"/>
          <w:rtl/>
          <w:lang w:bidi="fa-IR"/>
        </w:rPr>
        <w:t>بیمارستان امیرکبیر</w:t>
      </w:r>
    </w:p>
    <w:p w:rsidR="000356AB" w:rsidRDefault="000356AB" w:rsidP="000356AB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C376A8">
        <w:rPr>
          <w:rFonts w:cs="B Zar" w:hint="cs"/>
          <w:sz w:val="24"/>
          <w:szCs w:val="24"/>
          <w:rtl/>
          <w:lang w:bidi="fa-IR"/>
        </w:rPr>
        <w:t>ندارد</w:t>
      </w:r>
      <w:r>
        <w:rPr>
          <w:rFonts w:cs="B Zar"/>
          <w:sz w:val="24"/>
          <w:szCs w:val="24"/>
          <w:rtl/>
          <w:lang w:bidi="fa-IR"/>
        </w:rPr>
        <w:tab/>
      </w:r>
    </w:p>
    <w:p w:rsidR="000356AB" w:rsidRPr="000B72B9" w:rsidRDefault="000356AB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992"/>
        <w:gridCol w:w="3969"/>
        <w:gridCol w:w="992"/>
        <w:gridCol w:w="1134"/>
        <w:gridCol w:w="993"/>
        <w:gridCol w:w="1275"/>
        <w:gridCol w:w="709"/>
        <w:gridCol w:w="993"/>
        <w:gridCol w:w="1701"/>
      </w:tblGrid>
      <w:tr w:rsidR="000356AB" w:rsidRPr="00655F91" w:rsidTr="000356AB">
        <w:trPr>
          <w:trHeight w:val="297"/>
        </w:trPr>
        <w:tc>
          <w:tcPr>
            <w:tcW w:w="618" w:type="dxa"/>
            <w:vMerge w:val="restart"/>
          </w:tcPr>
          <w:p w:rsidR="000356AB" w:rsidRPr="00655F91" w:rsidRDefault="00916B59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جلسه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969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992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701" w:type="dxa"/>
            <w:tcBorders>
              <w:bottom w:val="nil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356AB" w:rsidRPr="00655F91" w:rsidTr="000356AB">
        <w:trPr>
          <w:trHeight w:val="275"/>
        </w:trPr>
        <w:tc>
          <w:tcPr>
            <w:tcW w:w="618" w:type="dxa"/>
            <w:vMerge/>
            <w:vAlign w:val="center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969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0356AB" w:rsidRPr="00655F91" w:rsidTr="000356AB">
        <w:tc>
          <w:tcPr>
            <w:tcW w:w="618" w:type="dxa"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356AB" w:rsidRDefault="00C376A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اضطرابی</w:t>
            </w: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Pr="00655F91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356AB" w:rsidRPr="00655F91" w:rsidRDefault="00C376A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اشنایی با علل و علایم وتشخیص ودرمان</w:t>
            </w:r>
          </w:p>
        </w:tc>
        <w:tc>
          <w:tcPr>
            <w:tcW w:w="3969" w:type="dxa"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C376A8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علل زمینه ای بیماری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 w:rsidR="00C376A8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پاتوفیزیولوژی بیماری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 w:rsidR="00C376A8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ذبا علایم بالینی بیماری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4- </w:t>
            </w:r>
            <w:r w:rsidR="00C376A8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تشخیص بیماری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5-</w:t>
            </w:r>
            <w:r w:rsidR="00C376A8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درمان</w:t>
            </w:r>
          </w:p>
        </w:tc>
        <w:tc>
          <w:tcPr>
            <w:tcW w:w="992" w:type="dxa"/>
          </w:tcPr>
          <w:p w:rsidR="000356A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سخنرانی </w:t>
            </w: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بحث گروهی</w:t>
            </w:r>
          </w:p>
          <w:p w:rsidR="00F9747B" w:rsidRPr="00655F91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مشارکت دانشجویان</w:t>
            </w:r>
          </w:p>
        </w:tc>
        <w:tc>
          <w:tcPr>
            <w:tcW w:w="1134" w:type="dxa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D93829">
              <w:rPr>
                <w:rFonts w:cs="Times New Roman" w:hint="cs"/>
                <w:rtl/>
              </w:rPr>
              <w:t>کتاب رفرانس ، اسلایدهای آموزشی از درس و فیلم های آموزشی موجود و ویدئو کنفرانس</w:t>
            </w:r>
          </w:p>
        </w:tc>
        <w:tc>
          <w:tcPr>
            <w:tcW w:w="993" w:type="dxa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بیمارستان امیرکبیر</w:t>
            </w:r>
          </w:p>
        </w:tc>
        <w:tc>
          <w:tcPr>
            <w:tcW w:w="1275" w:type="dxa"/>
          </w:tcPr>
          <w:p w:rsidR="000356A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کنفرانس دانشجویان</w:t>
            </w:r>
          </w:p>
          <w:p w:rsidR="00F9747B" w:rsidRPr="00655F91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جستجوی منابع</w:t>
            </w:r>
          </w:p>
        </w:tc>
        <w:tc>
          <w:tcPr>
            <w:tcW w:w="1702" w:type="dxa"/>
            <w:gridSpan w:val="2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D93829">
              <w:rPr>
                <w:rFonts w:cs="Times New Roman" w:hint="cs"/>
                <w:rtl/>
              </w:rPr>
              <w:t>10 % نمره از طریق حضور و شرکت فعال  در کلاس و90% نمره از طریق آزمون تستی-تشریحی در پایان ترم.</w:t>
            </w:r>
          </w:p>
        </w:tc>
        <w:tc>
          <w:tcPr>
            <w:tcW w:w="1701" w:type="dxa"/>
          </w:tcPr>
          <w:p w:rsidR="000356A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کتاب هندبوک کاپلان 2015 </w:t>
            </w:r>
          </w:p>
          <w:p w:rsidR="00F9747B" w:rsidRPr="00655F91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درسنامه ملی وزارتی</w:t>
            </w:r>
          </w:p>
        </w:tc>
      </w:tr>
      <w:tr w:rsidR="000356AB" w:rsidRPr="00655F91" w:rsidTr="00F9747B">
        <w:trPr>
          <w:trHeight w:val="1952"/>
        </w:trPr>
        <w:tc>
          <w:tcPr>
            <w:tcW w:w="618" w:type="dxa"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356A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خلقی</w:t>
            </w: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  <w:p w:rsidR="00F9747B" w:rsidRPr="00655F91" w:rsidRDefault="00F9747B" w:rsidP="00F9747B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3969" w:type="dxa"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 w:rsidR="00F9747B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            </w:t>
            </w:r>
            <w:r w:rsidR="00F9747B"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4- 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5-</w:t>
            </w:r>
          </w:p>
        </w:tc>
        <w:tc>
          <w:tcPr>
            <w:tcW w:w="992" w:type="dxa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134" w:type="dxa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993" w:type="dxa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275" w:type="dxa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702" w:type="dxa"/>
            <w:gridSpan w:val="2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701" w:type="dxa"/>
          </w:tcPr>
          <w:p w:rsidR="000356A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</w:tr>
      <w:tr w:rsidR="00F9747B" w:rsidRPr="00655F91" w:rsidTr="000356AB">
        <w:trPr>
          <w:trHeight w:val="416"/>
        </w:trPr>
        <w:tc>
          <w:tcPr>
            <w:tcW w:w="618" w:type="dxa"/>
          </w:tcPr>
          <w:p w:rsidR="00F9747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F9747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شخصیت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3969" w:type="dxa"/>
          </w:tcPr>
          <w:p w:rsidR="00F9747B" w:rsidRPr="00655F91" w:rsidRDefault="00F9747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992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134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993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275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702" w:type="dxa"/>
            <w:gridSpan w:val="2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701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</w:tr>
      <w:tr w:rsidR="00F9747B" w:rsidRPr="00655F91" w:rsidTr="000356AB">
        <w:trPr>
          <w:trHeight w:val="416"/>
        </w:trPr>
        <w:tc>
          <w:tcPr>
            <w:tcW w:w="618" w:type="dxa"/>
          </w:tcPr>
          <w:p w:rsidR="00F9747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F9747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اختلالات سایکوتیک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3969" w:type="dxa"/>
          </w:tcPr>
          <w:p w:rsidR="00F9747B" w:rsidRPr="00655F91" w:rsidRDefault="00F9747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992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134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993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275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702" w:type="dxa"/>
            <w:gridSpan w:val="2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  <w:tc>
          <w:tcPr>
            <w:tcW w:w="1701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  <w:r w:rsidRPr="00965282">
              <w:rPr>
                <w:rFonts w:cs="Times New Roman" w:hint="cs"/>
                <w:i/>
                <w:iCs/>
                <w:sz w:val="20"/>
                <w:szCs w:val="20"/>
                <w:rtl/>
              </w:rPr>
              <w:t>"</w:t>
            </w:r>
          </w:p>
        </w:tc>
      </w:tr>
      <w:tr w:rsidR="00F9747B" w:rsidRPr="00655F91" w:rsidTr="000356AB">
        <w:trPr>
          <w:trHeight w:val="416"/>
        </w:trPr>
        <w:tc>
          <w:tcPr>
            <w:tcW w:w="618" w:type="dxa"/>
          </w:tcPr>
          <w:p w:rsidR="00F9747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F9747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F9747B" w:rsidRPr="00655F91" w:rsidRDefault="00F9747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275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702" w:type="dxa"/>
            <w:gridSpan w:val="2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701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</w:tr>
      <w:tr w:rsidR="00F9747B" w:rsidRPr="00655F91" w:rsidTr="000356AB">
        <w:trPr>
          <w:trHeight w:val="416"/>
        </w:trPr>
        <w:tc>
          <w:tcPr>
            <w:tcW w:w="618" w:type="dxa"/>
          </w:tcPr>
          <w:p w:rsidR="00F9747B" w:rsidRPr="00655F91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F9747B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3969" w:type="dxa"/>
          </w:tcPr>
          <w:p w:rsidR="00F9747B" w:rsidRPr="00655F91" w:rsidRDefault="00F9747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993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275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702" w:type="dxa"/>
            <w:gridSpan w:val="2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  <w:tc>
          <w:tcPr>
            <w:tcW w:w="1701" w:type="dxa"/>
          </w:tcPr>
          <w:p w:rsidR="00F9747B" w:rsidRPr="00965282" w:rsidRDefault="00F9747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Times New Roman"/>
                <w:i/>
                <w:iCs/>
                <w:sz w:val="20"/>
                <w:szCs w:val="20"/>
                <w:rtl/>
              </w:rPr>
            </w:pPr>
          </w:p>
        </w:tc>
      </w:tr>
    </w:tbl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اصولایک هدف کلی نگارش شده و سپس به چند هدف ویژه رفتاری تقسیم می شود.</w:t>
      </w:r>
    </w:p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اهداف ویژه 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6AB"/>
    <w:rsid w:val="000356AB"/>
    <w:rsid w:val="003B3AF2"/>
    <w:rsid w:val="0044745C"/>
    <w:rsid w:val="00916B59"/>
    <w:rsid w:val="00973120"/>
    <w:rsid w:val="00BD7AA5"/>
    <w:rsid w:val="00C376A8"/>
    <w:rsid w:val="00F22862"/>
    <w:rsid w:val="00F9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D72294-7D39-477A-9344-B9725E1A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45C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2019-04-29T04:19:00Z</cp:lastPrinted>
  <dcterms:created xsi:type="dcterms:W3CDTF">2019-05-14T08:33:00Z</dcterms:created>
  <dcterms:modified xsi:type="dcterms:W3CDTF">2019-05-14T08:33:00Z</dcterms:modified>
</cp:coreProperties>
</file>