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68D" w:rsidRPr="00B7768D" w:rsidRDefault="00B7768D" w:rsidP="0038710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B7768D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  <w:rtl/>
        </w:rPr>
        <w:t>درباره ما:</w:t>
      </w:r>
    </w:p>
    <w:p w:rsidR="00B7768D" w:rsidRPr="00B7768D" w:rsidRDefault="00B7768D" w:rsidP="0038710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7768D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تاریخچه: </w:t>
      </w:r>
    </w:p>
    <w:p w:rsidR="00B7768D" w:rsidRPr="00B7768D" w:rsidRDefault="00B7768D" w:rsidP="0038710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7768D">
        <w:rPr>
          <w:rFonts w:ascii="Times New Roman" w:eastAsia="Times New Roman" w:hAnsi="Times New Roman" w:cs="Times New Roman"/>
          <w:sz w:val="24"/>
          <w:szCs w:val="24"/>
          <w:rtl/>
        </w:rPr>
        <w:t>دانشکده پرستاری شازند به عنوان اولین مرکز دانشگاهی علوم پزشکی در شهرستان شازند، در سال 1389 به صورت رسمی با مجوز «وزارت بهداشت، درمان و آموزش پزشکی» و در راستای چشم انداز 20 ساله نظام مقدس جمهوری اسلامی ایران، با هدف تربیت و آموزش پرستاران مورد نیاز جامعه، در مجتمع پیامبر اعظم (ص) شروع به کار نموده و کتابخانه مرکزی دانشگاه وظیفه پاسخگویی به دانشجویان این دانشکده را به عهده داشت ولی در کار اصلی و تخصصی این کتابخانه از سال 1393 با شروع به کار دانشکده پرستاری در شهر شازند آغاز شد.</w:t>
      </w:r>
    </w:p>
    <w:p w:rsidR="00B7768D" w:rsidRPr="00B7768D" w:rsidRDefault="00B7768D" w:rsidP="0038710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7768D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اهداف:</w:t>
      </w:r>
    </w:p>
    <w:p w:rsidR="00B7768D" w:rsidRPr="00B7768D" w:rsidRDefault="00B7768D" w:rsidP="0038710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7768D">
        <w:rPr>
          <w:rFonts w:ascii="Times New Roman" w:eastAsia="Times New Roman" w:hAnsi="Times New Roman" w:cs="Times New Roman"/>
          <w:sz w:val="24"/>
          <w:szCs w:val="24"/>
          <w:rtl/>
        </w:rPr>
        <w:t> با ایجاد فرصتی که برای علاقه مندان به تحصیل در رشته پرستاری (خصوصاً افراد بومی) فراهم شد کتابخانه این دانشکده نیز راستای اهداف عالیه این دانشکده به منظور اعتلای سطح علمی و پژوهشی شهرستان  و دانشکده قدم برداشت و هدف اصلی این کتابخانه گردآوری منابع علمی و آموزشی و همچنین اشاعه اطلاعات در راستای تقویت برنامه های آموزشی و پژوهشی دانشکده است. گرد آوری منابع ؛ سازماندهی منابع ؛ اطلاع رسانی به روش های مختلف، آموزش مراجعین جهت استفاده صحیح و بهینه از اطلاعات کتابخانه؛ ایجاد زمینه های مناسب برای ترغیب بیشتر دانشجویان در استفاده از کتابخانه.</w:t>
      </w:r>
    </w:p>
    <w:p w:rsidR="00B7768D" w:rsidRPr="00B7768D" w:rsidRDefault="00B7768D" w:rsidP="0038710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7768D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معرفی مجموعه :</w:t>
      </w:r>
    </w:p>
    <w:p w:rsidR="00B7768D" w:rsidRPr="00B7768D" w:rsidRDefault="00B7768D" w:rsidP="0038710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7768D">
        <w:rPr>
          <w:rFonts w:ascii="Times New Roman" w:eastAsia="Times New Roman" w:hAnsi="Times New Roman" w:cs="Times New Roman"/>
          <w:sz w:val="24"/>
          <w:szCs w:val="24"/>
          <w:rtl/>
        </w:rPr>
        <w:t>مجموعه این کتابخانه مشتمل بر بیش از 703 نسخه کتاب فارسی و 33 نسخه کتاب لاتین،  10نسخه نشریه،  در زمینه پرستاری و موضوعات مرتبط با آن است. تا حدودی پاسخگوی نیازهای علمی و جامعه  دانشکده می باشد.</w:t>
      </w:r>
    </w:p>
    <w:p w:rsidR="00B7768D" w:rsidRPr="00B7768D" w:rsidRDefault="00B7768D" w:rsidP="0038710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7768D">
        <w:rPr>
          <w:rFonts w:ascii="Times New Roman" w:eastAsia="Times New Roman" w:hAnsi="Times New Roman" w:cs="Times New Roman"/>
          <w:sz w:val="24"/>
          <w:szCs w:val="24"/>
          <w:rtl/>
        </w:rPr>
        <w:t>دانشجویان پرستاری شازند برای گذراندن واحد های عملی در دانشگاه علوم پزشکی اراک طی می و بعد از سه ترم تحصیلی عضو کتابخانه مرکزی دانشگاه می باشند.</w:t>
      </w:r>
    </w:p>
    <w:p w:rsidR="00B7768D" w:rsidRPr="00B7768D" w:rsidRDefault="00B7768D" w:rsidP="0038710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7768D">
        <w:rPr>
          <w:rFonts w:ascii="Times New Roman" w:eastAsia="Times New Roman" w:hAnsi="Times New Roman" w:cs="Times New Roman"/>
          <w:sz w:val="24"/>
          <w:szCs w:val="24"/>
          <w:rtl/>
        </w:rPr>
        <w:t>تامین و گردآوری منابع چاپی مورد نیاز هر دو دانشکده، اعم از کتب فارسی ولاتین مطابق درخواست جامعه استفاده کننده کتابخانه  با تخصیص بودجه معاونت تحقیقات و فناوری دانشگاه، توسط کتابخانه مرکزی خرید و تهیه می شود. </w:t>
      </w:r>
    </w:p>
    <w:p w:rsidR="00B7768D" w:rsidRPr="00B7768D" w:rsidRDefault="00B7768D" w:rsidP="0038710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7768D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تمامی مراحل مجموعه سازی منابع کتابخانه  نظیر  فهرستنویسی، ورود اطلاعات در سیستم جامع نرم افزار کتابخانه و پرینت بارکدها توسط کتابداران متخصص کتابخانه مرکزی انجام می شود و در نهایت توسط کتابدار کتابخانه دانشکده منابع جدید ثبت دفتر و آماده سازی می گردد.</w:t>
      </w:r>
    </w:p>
    <w:p w:rsidR="00B7768D" w:rsidRPr="00B7768D" w:rsidRDefault="00B7768D" w:rsidP="0038710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7768D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چشم انداز:</w:t>
      </w:r>
    </w:p>
    <w:p w:rsidR="00B7768D" w:rsidRPr="00B7768D" w:rsidRDefault="00B7768D" w:rsidP="0038710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7768D">
        <w:rPr>
          <w:rFonts w:ascii="Times New Roman" w:eastAsia="Times New Roman" w:hAnsi="Times New Roman" w:cs="Times New Roman"/>
          <w:sz w:val="24"/>
          <w:szCs w:val="24"/>
          <w:rtl/>
        </w:rPr>
        <w:t>کتابخانه دانشکده پرستاری شازند در نظر دارد با ایجاد شرایط مناسب  در حیطه آموزشی، پژوهشی در بخش های زیر ارائه خدمت نماید و نقش موثری در ارتقاء سلامت جامعه و تولیدات علمی دانشگاه در حوزه علوم پزشکی داشته باشد:</w:t>
      </w:r>
    </w:p>
    <w:p w:rsidR="00B7768D" w:rsidRPr="00B7768D" w:rsidRDefault="00B7768D" w:rsidP="0038710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7768D">
        <w:rPr>
          <w:rFonts w:ascii="Times New Roman" w:eastAsia="Times New Roman" w:hAnsi="Times New Roman" w:cs="Times New Roman"/>
          <w:sz w:val="24"/>
          <w:szCs w:val="24"/>
          <w:rtl/>
        </w:rPr>
        <w:t>  تامین مدارک و منابع علمی چاپی و الکترونیکی اعم از کتب ، نشریات ، بانک های اطلاعاتی ولوح های آموزشی / آموزش اعضای هیات علمی ، پژوهشگران و دانشجویان / پاسخگویی به مراجعان /    به روز رسانی و تجهیز کتابخانه /  بکارگیری نیروی انسانی کارآمد، متعهد وتوانمند /  ارائه خدمات باکیفیت مطلوب وافزایش رضایت مندی مراجعه کنندگان</w:t>
      </w:r>
    </w:p>
    <w:p w:rsidR="00B7768D" w:rsidRPr="00B7768D" w:rsidRDefault="00B7768D" w:rsidP="0038710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7768D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جامعه استفاده کننده:</w:t>
      </w:r>
    </w:p>
    <w:p w:rsidR="00B7768D" w:rsidRPr="00B7768D" w:rsidRDefault="00B7768D" w:rsidP="0038710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7768D">
        <w:rPr>
          <w:rFonts w:ascii="Times New Roman" w:eastAsia="Times New Roman" w:hAnsi="Times New Roman" w:cs="Times New Roman"/>
          <w:sz w:val="24"/>
          <w:szCs w:val="24"/>
          <w:rtl/>
        </w:rPr>
        <w:t>اساتید و دانشجویان پرستاری</w:t>
      </w:r>
    </w:p>
    <w:p w:rsidR="00B7768D" w:rsidRPr="00B7768D" w:rsidRDefault="00B7768D" w:rsidP="0038710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7768D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  <w:rtl/>
        </w:rPr>
        <w:lastRenderedPageBreak/>
        <w:t>گزارش عملکرد کتابخانه دانشکده شازند در  سال 1404 به شرح ذیل اعلام می گردد</w:t>
      </w:r>
      <w:r w:rsidRPr="00B7768D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>: </w:t>
      </w:r>
    </w:p>
    <w:p w:rsidR="00B7768D" w:rsidRPr="00B7768D" w:rsidRDefault="00B7768D" w:rsidP="0038710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68D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  <w:rtl/>
        </w:rPr>
        <w:t>فعالیت ها</w:t>
      </w:r>
      <w:r w:rsidRPr="00B7768D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>: </w:t>
      </w:r>
    </w:p>
    <w:p w:rsidR="00B7768D" w:rsidRPr="00B7768D" w:rsidRDefault="00B7768D" w:rsidP="0038710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68D">
        <w:rPr>
          <w:rFonts w:ascii="Times New Roman" w:eastAsia="Times New Roman" w:hAnsi="Times New Roman" w:cs="Times New Roman"/>
          <w:sz w:val="24"/>
          <w:szCs w:val="24"/>
          <w:rtl/>
        </w:rPr>
        <w:t>دعوت به شرکت در کارگاه های آموزشی برگزار شده توسط کتابخانه مرکزی ویژه اساتید و دانشجویان </w:t>
      </w:r>
    </w:p>
    <w:p w:rsidR="00B7768D" w:rsidRPr="00B7768D" w:rsidRDefault="00B7768D" w:rsidP="0038710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7768D">
        <w:rPr>
          <w:rFonts w:ascii="Times New Roman" w:eastAsia="Times New Roman" w:hAnsi="Times New Roman" w:cs="Times New Roman"/>
          <w:sz w:val="24"/>
          <w:szCs w:val="24"/>
          <w:rtl/>
        </w:rPr>
        <w:t>ثبت نام دانشجویان جدید</w:t>
      </w:r>
    </w:p>
    <w:p w:rsidR="00B7768D" w:rsidRPr="00B7768D" w:rsidRDefault="00B7768D" w:rsidP="0038710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68D">
        <w:rPr>
          <w:rFonts w:ascii="Times New Roman" w:eastAsia="Times New Roman" w:hAnsi="Times New Roman" w:cs="Times New Roman"/>
          <w:sz w:val="24"/>
          <w:szCs w:val="24"/>
          <w:rtl/>
        </w:rPr>
        <w:t>برگزاری تور آشنایی با کتابخانه توسط کتابخانه مرکزی </w:t>
      </w:r>
    </w:p>
    <w:p w:rsidR="00B7768D" w:rsidRPr="00B7768D" w:rsidRDefault="00B7768D" w:rsidP="0038710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68D">
        <w:rPr>
          <w:rFonts w:ascii="Times New Roman" w:eastAsia="Times New Roman" w:hAnsi="Times New Roman" w:cs="Times New Roman"/>
          <w:sz w:val="24"/>
          <w:szCs w:val="24"/>
          <w:rtl/>
        </w:rPr>
        <w:t>پیگیر دیرکرد کتابها</w:t>
      </w:r>
    </w:p>
    <w:p w:rsidR="00B7768D" w:rsidRPr="00B7768D" w:rsidRDefault="00B7768D" w:rsidP="0038710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68D">
        <w:rPr>
          <w:rFonts w:ascii="Times New Roman" w:eastAsia="Times New Roman" w:hAnsi="Times New Roman" w:cs="Times New Roman"/>
          <w:sz w:val="24"/>
          <w:szCs w:val="24"/>
          <w:rtl/>
        </w:rPr>
        <w:t>خرید کتاب دراردیبهشت سال 1404</w:t>
      </w:r>
    </w:p>
    <w:p w:rsidR="00B7768D" w:rsidRPr="00B7768D" w:rsidRDefault="00B7768D" w:rsidP="0038710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68D">
        <w:rPr>
          <w:rFonts w:ascii="Times New Roman" w:eastAsia="Times New Roman" w:hAnsi="Times New Roman" w:cs="Times New Roman"/>
          <w:sz w:val="24"/>
          <w:szCs w:val="24"/>
          <w:rtl/>
        </w:rPr>
        <w:t>پیگیری درخواست اساتید گروه های آموزشی و دانشجویان جهت خرید کتاب  از نمایشگاه کتاب تهران </w:t>
      </w:r>
    </w:p>
    <w:p w:rsidR="00B7768D" w:rsidRPr="00B7768D" w:rsidRDefault="00B7768D" w:rsidP="0038710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7768D">
        <w:rPr>
          <w:rFonts w:ascii="Times New Roman" w:eastAsia="Times New Roman" w:hAnsi="Times New Roman" w:cs="Times New Roman"/>
          <w:sz w:val="24"/>
          <w:szCs w:val="24"/>
          <w:rtl/>
        </w:rPr>
        <w:t>پیگیری بن نمایشگاه کتاب تهران برای  اساتید گروه های آموزشی و دانشجویان</w:t>
      </w:r>
    </w:p>
    <w:p w:rsidR="00B7768D" w:rsidRPr="00B7768D" w:rsidRDefault="00B7768D" w:rsidP="0038710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7768D">
        <w:rPr>
          <w:rFonts w:ascii="Times New Roman" w:eastAsia="Times New Roman" w:hAnsi="Times New Roman" w:cs="Times New Roman"/>
          <w:sz w:val="24"/>
          <w:szCs w:val="24"/>
          <w:rtl/>
        </w:rPr>
        <w:t> خرید و ثبت132 نسخه کتاب فارسی  سال 1404</w:t>
      </w:r>
    </w:p>
    <w:p w:rsidR="00B7768D" w:rsidRPr="00B7768D" w:rsidRDefault="00B7768D" w:rsidP="0038710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7768D">
        <w:rPr>
          <w:rFonts w:ascii="Times New Roman" w:eastAsia="Times New Roman" w:hAnsi="Times New Roman" w:cs="Times New Roman"/>
          <w:sz w:val="24"/>
          <w:szCs w:val="24"/>
          <w:rtl/>
        </w:rPr>
        <w:t> خرید و ثبت 3  نسخه کتاب لاتین   سال 1404</w:t>
      </w:r>
    </w:p>
    <w:p w:rsidR="00B7768D" w:rsidRPr="00B7768D" w:rsidRDefault="00B7768D" w:rsidP="0038710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7768D">
        <w:rPr>
          <w:rFonts w:ascii="Times New Roman" w:eastAsia="Times New Roman" w:hAnsi="Times New Roman" w:cs="Times New Roman"/>
          <w:sz w:val="24"/>
          <w:szCs w:val="24"/>
        </w:rPr>
        <w:t xml:space="preserve">2- </w:t>
      </w:r>
      <w:r w:rsidRPr="00B7768D">
        <w:rPr>
          <w:rFonts w:ascii="Times New Roman" w:eastAsia="Times New Roman" w:hAnsi="Times New Roman" w:cs="Times New Roman"/>
          <w:sz w:val="24"/>
          <w:szCs w:val="24"/>
          <w:rtl/>
        </w:rPr>
        <w:t>تنظیم و بازسازی پورتال کتابخانه دانشکده مطابق چک لیست معاونت تحقیقات وزرات بهداشت </w:t>
      </w:r>
    </w:p>
    <w:p w:rsidR="00B7768D" w:rsidRPr="00B7768D" w:rsidRDefault="00B7768D" w:rsidP="0038710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68D">
        <w:rPr>
          <w:rFonts w:ascii="Times New Roman" w:eastAsia="Times New Roman" w:hAnsi="Times New Roman" w:cs="Times New Roman"/>
          <w:sz w:val="24"/>
          <w:szCs w:val="24"/>
        </w:rPr>
        <w:t xml:space="preserve">3- </w:t>
      </w:r>
      <w:r w:rsidRPr="00B7768D">
        <w:rPr>
          <w:rFonts w:ascii="Times New Roman" w:eastAsia="Times New Roman" w:hAnsi="Times New Roman" w:cs="Times New Roman"/>
          <w:sz w:val="24"/>
          <w:szCs w:val="24"/>
          <w:rtl/>
        </w:rPr>
        <w:t>پیگیری بازگشت کتابهای امانتی در سال 1403 </w:t>
      </w:r>
    </w:p>
    <w:p w:rsidR="00B7768D" w:rsidRPr="00B7768D" w:rsidRDefault="00B7768D" w:rsidP="0038710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tgtFrame="_blank" w:history="1">
        <w:r w:rsidRPr="00B7768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rtl/>
          </w:rPr>
          <w:t>وضعیت امانت در سال 1404</w:t>
        </w:r>
        <w:r w:rsidRPr="00B7768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:</w:t>
        </w:r>
      </w:hyperlink>
    </w:p>
    <w:p w:rsidR="00B7768D" w:rsidRPr="00B7768D" w:rsidRDefault="00B7768D" w:rsidP="0038710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768D" w:rsidRPr="00B7768D" w:rsidRDefault="00B7768D" w:rsidP="0038710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7768D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ارزیاب محترم به اطلاع می رساند</w:t>
      </w:r>
      <w:r w:rsidRPr="00B7768D">
        <w:rPr>
          <w:rFonts w:ascii="Times New Roman" w:eastAsia="Times New Roman" w:hAnsi="Times New Roman" w:cs="Times New Roman"/>
          <w:sz w:val="24"/>
          <w:szCs w:val="24"/>
          <w:rtl/>
        </w:rPr>
        <w:t xml:space="preserve"> دانشجویان این دانشکده فقط سه ترم تحصیلی اول که مختصص دروس پایه می باشد را در شازند تحصیل می نمایند و جهت ادامه تحصیل به دانشکده پرستاری شهر اراک باز می گردند لذا منابع موجود در این کتابخانه فقط برای سه ترم تحصیلی این سری دانشجویان میباشد و سایر منابع را از کتابخانه مرکزی د. ع. پ. اراک استفاده می نمایند. </w:t>
      </w:r>
    </w:p>
    <w:p w:rsidR="00B7768D" w:rsidRDefault="00B7768D" w:rsidP="0038710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  <w:rtl/>
        </w:rPr>
      </w:pPr>
    </w:p>
    <w:p w:rsidR="00B7768D" w:rsidRDefault="00B7768D" w:rsidP="0038710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  <w:rtl/>
        </w:rPr>
      </w:pPr>
    </w:p>
    <w:p w:rsidR="00B7768D" w:rsidRDefault="00B7768D" w:rsidP="0038710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  <w:rtl/>
        </w:rPr>
      </w:pPr>
    </w:p>
    <w:p w:rsidR="00B7768D" w:rsidRDefault="00B7768D" w:rsidP="0038710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  <w:rtl/>
        </w:rPr>
      </w:pPr>
    </w:p>
    <w:p w:rsidR="00B7768D" w:rsidRDefault="00B7768D" w:rsidP="0038710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  <w:rtl/>
        </w:rPr>
      </w:pPr>
    </w:p>
    <w:p w:rsidR="00B7768D" w:rsidRDefault="00B7768D" w:rsidP="0038710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  <w:rtl/>
        </w:rPr>
      </w:pPr>
    </w:p>
    <w:p w:rsidR="00B7768D" w:rsidRDefault="00B7768D" w:rsidP="0038710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  <w:rtl/>
        </w:rPr>
      </w:pPr>
      <w:r w:rsidRPr="00B7768D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  <w:rtl/>
        </w:rPr>
        <w:lastRenderedPageBreak/>
        <w:t> عملکرد کتابخانه دانشکده:</w:t>
      </w:r>
    </w:p>
    <w:p w:rsidR="00B7768D" w:rsidRDefault="00B7768D" w:rsidP="0038710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Y="1"/>
        <w:tblOverlap w:val="never"/>
        <w:bidiVisual/>
        <w:tblW w:w="9757" w:type="dxa"/>
        <w:tblLook w:val="04A0" w:firstRow="1" w:lastRow="0" w:firstColumn="1" w:lastColumn="0" w:noHBand="0" w:noVBand="1"/>
      </w:tblPr>
      <w:tblGrid>
        <w:gridCol w:w="792"/>
        <w:gridCol w:w="885"/>
        <w:gridCol w:w="815"/>
        <w:gridCol w:w="1086"/>
        <w:gridCol w:w="1810"/>
        <w:gridCol w:w="1019"/>
        <w:gridCol w:w="1426"/>
        <w:gridCol w:w="1924"/>
      </w:tblGrid>
      <w:tr w:rsidR="00B7768D" w:rsidRPr="00D70299" w:rsidTr="006C6C2A">
        <w:trPr>
          <w:trHeight w:val="501"/>
        </w:trPr>
        <w:tc>
          <w:tcPr>
            <w:tcW w:w="9757" w:type="dxa"/>
            <w:gridSpan w:val="8"/>
            <w:shd w:val="clear" w:color="auto" w:fill="E7E6E6" w:themeFill="background2"/>
            <w:vAlign w:val="center"/>
          </w:tcPr>
          <w:p w:rsidR="00B7768D" w:rsidRDefault="00B7768D" w:rsidP="0038710D">
            <w:pPr>
              <w:bidi/>
              <w:rPr>
                <w:rFonts w:cs="B Titr" w:hint="cs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rtl/>
                <w:lang w:bidi="fa-IR"/>
              </w:rPr>
              <w:t>ب: کتابخانه های دانشکده ای</w:t>
            </w:r>
            <w:r>
              <w:rPr>
                <w:rFonts w:cs="B Titr" w:hint="cs"/>
                <w:rtl/>
                <w:lang w:bidi="fa-IR"/>
              </w:rPr>
              <w:t xml:space="preserve"> مستقل</w:t>
            </w:r>
          </w:p>
        </w:tc>
      </w:tr>
      <w:tr w:rsidR="00B7768D" w:rsidRPr="00D70299" w:rsidTr="00F265ED">
        <w:trPr>
          <w:trHeight w:val="501"/>
        </w:trPr>
        <w:tc>
          <w:tcPr>
            <w:tcW w:w="792" w:type="dxa"/>
            <w:vMerge w:val="restart"/>
            <w:shd w:val="clear" w:color="auto" w:fill="E7E6E6" w:themeFill="background2"/>
            <w:vAlign w:val="center"/>
          </w:tcPr>
          <w:p w:rsidR="00B7768D" w:rsidRPr="00D70299" w:rsidRDefault="00B7768D" w:rsidP="0038710D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1700" w:type="dxa"/>
            <w:gridSpan w:val="2"/>
            <w:shd w:val="clear" w:color="auto" w:fill="E7E6E6" w:themeFill="background2"/>
            <w:vAlign w:val="center"/>
          </w:tcPr>
          <w:p w:rsidR="00B7768D" w:rsidRPr="00D70299" w:rsidRDefault="00B7768D" w:rsidP="0038710D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کتابخانه </w:t>
            </w:r>
          </w:p>
        </w:tc>
        <w:tc>
          <w:tcPr>
            <w:tcW w:w="1086" w:type="dxa"/>
            <w:vMerge w:val="restart"/>
            <w:shd w:val="clear" w:color="auto" w:fill="E7E6E6" w:themeFill="background2"/>
            <w:vAlign w:val="center"/>
          </w:tcPr>
          <w:p w:rsidR="00B7768D" w:rsidRPr="00D70299" w:rsidRDefault="00B7768D" w:rsidP="0038710D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1810" w:type="dxa"/>
            <w:vMerge w:val="restart"/>
            <w:shd w:val="clear" w:color="auto" w:fill="E7E6E6" w:themeFill="background2"/>
          </w:tcPr>
          <w:p w:rsidR="00B7768D" w:rsidRPr="00D70299" w:rsidRDefault="00B7768D" w:rsidP="0038710D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019" w:type="dxa"/>
            <w:vMerge w:val="restart"/>
            <w:shd w:val="clear" w:color="auto" w:fill="E7E6E6" w:themeFill="background2"/>
            <w:vAlign w:val="center"/>
          </w:tcPr>
          <w:p w:rsidR="00B7768D" w:rsidRPr="00D70299" w:rsidRDefault="00B7768D" w:rsidP="0038710D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426" w:type="dxa"/>
            <w:vMerge w:val="restart"/>
            <w:shd w:val="clear" w:color="auto" w:fill="E7E6E6" w:themeFill="background2"/>
            <w:vAlign w:val="center"/>
          </w:tcPr>
          <w:p w:rsidR="00B7768D" w:rsidRPr="00D70299" w:rsidRDefault="00B7768D" w:rsidP="0038710D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1924" w:type="dxa"/>
            <w:vMerge w:val="restart"/>
            <w:shd w:val="clear" w:color="auto" w:fill="E7E6E6" w:themeFill="background2"/>
          </w:tcPr>
          <w:p w:rsidR="00B7768D" w:rsidRPr="00D70299" w:rsidRDefault="00B7768D" w:rsidP="0038710D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B7768D" w:rsidRPr="00D70299" w:rsidTr="00F265ED">
        <w:trPr>
          <w:trHeight w:val="1027"/>
        </w:trPr>
        <w:tc>
          <w:tcPr>
            <w:tcW w:w="792" w:type="dxa"/>
            <w:vMerge/>
            <w:shd w:val="clear" w:color="auto" w:fill="E7E6E6" w:themeFill="background2"/>
            <w:vAlign w:val="center"/>
          </w:tcPr>
          <w:p w:rsidR="00B7768D" w:rsidRPr="00D70299" w:rsidRDefault="00B7768D" w:rsidP="0038710D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885" w:type="dxa"/>
            <w:shd w:val="clear" w:color="auto" w:fill="E7E6E6" w:themeFill="background2"/>
            <w:vAlign w:val="center"/>
          </w:tcPr>
          <w:p w:rsidR="00B7768D" w:rsidRPr="00F857BE" w:rsidRDefault="00B7768D" w:rsidP="0038710D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815" w:type="dxa"/>
            <w:shd w:val="clear" w:color="auto" w:fill="E7E6E6" w:themeFill="background2"/>
            <w:vAlign w:val="center"/>
          </w:tcPr>
          <w:p w:rsidR="00B7768D" w:rsidRPr="00F857BE" w:rsidRDefault="00B7768D" w:rsidP="0038710D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086" w:type="dxa"/>
            <w:vMerge/>
            <w:shd w:val="clear" w:color="auto" w:fill="D5DCE4" w:themeFill="text2" w:themeFillTint="33"/>
            <w:vAlign w:val="center"/>
          </w:tcPr>
          <w:p w:rsidR="00B7768D" w:rsidRPr="00D70299" w:rsidRDefault="00B7768D" w:rsidP="0038710D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1810" w:type="dxa"/>
            <w:vMerge/>
            <w:shd w:val="clear" w:color="auto" w:fill="D5DCE4" w:themeFill="text2" w:themeFillTint="33"/>
            <w:vAlign w:val="center"/>
          </w:tcPr>
          <w:p w:rsidR="00B7768D" w:rsidRPr="00D70299" w:rsidRDefault="00B7768D" w:rsidP="0038710D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1019" w:type="dxa"/>
            <w:vMerge/>
            <w:shd w:val="clear" w:color="auto" w:fill="E7E6E6" w:themeFill="background2"/>
            <w:vAlign w:val="center"/>
          </w:tcPr>
          <w:p w:rsidR="00B7768D" w:rsidRPr="00D70299" w:rsidRDefault="00B7768D" w:rsidP="0038710D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1426" w:type="dxa"/>
            <w:vMerge/>
            <w:shd w:val="clear" w:color="auto" w:fill="E7E6E6" w:themeFill="background2"/>
          </w:tcPr>
          <w:p w:rsidR="00B7768D" w:rsidRPr="00D70299" w:rsidRDefault="00B7768D" w:rsidP="0038710D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1924" w:type="dxa"/>
            <w:vMerge/>
            <w:shd w:val="clear" w:color="auto" w:fill="E7E6E6" w:themeFill="background2"/>
          </w:tcPr>
          <w:p w:rsidR="00B7768D" w:rsidRPr="00D70299" w:rsidRDefault="00B7768D" w:rsidP="0038710D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B7768D" w:rsidRPr="00D70299" w:rsidTr="00F265ED">
        <w:trPr>
          <w:trHeight w:val="31"/>
        </w:trPr>
        <w:tc>
          <w:tcPr>
            <w:tcW w:w="792" w:type="dxa"/>
            <w:shd w:val="clear" w:color="auto" w:fill="FFFFFF" w:themeFill="background1"/>
            <w:vAlign w:val="center"/>
          </w:tcPr>
          <w:p w:rsidR="00B7768D" w:rsidRDefault="00B7768D" w:rsidP="0038710D">
            <w:pPr>
              <w:bidi/>
              <w:rPr>
                <w:rFonts w:cs="B Titr"/>
                <w:rtl/>
                <w:lang w:bidi="fa-IR"/>
              </w:rPr>
            </w:pPr>
            <w:r w:rsidRPr="00D94782">
              <w:rPr>
                <w:rFonts w:cs="B Nazanin" w:hint="cs"/>
                <w:rtl/>
                <w:lang w:bidi="fa-IR"/>
              </w:rPr>
              <w:t>دانشکده پرستاری شازند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B7768D" w:rsidRPr="00D70299" w:rsidRDefault="00B7768D" w:rsidP="0038710D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B7768D" w:rsidRDefault="00B7768D" w:rsidP="0038710D">
            <w:pPr>
              <w:bidi/>
              <w:rPr>
                <w:rFonts w:cs="B Titr"/>
                <w:rtl/>
                <w:lang w:bidi="fa-IR"/>
              </w:rPr>
            </w:pPr>
            <w:r w:rsidRPr="00077475">
              <w:rPr>
                <w:rFonts w:ascii="Calibri" w:hAnsi="Calibri" w:cs="Calibri"/>
                <w:color w:val="0070C0"/>
                <w:sz w:val="44"/>
                <w:szCs w:val="44"/>
                <w:rtl/>
                <w:lang w:bidi="fa-IR"/>
              </w:rPr>
              <w:t>*</w:t>
            </w:r>
          </w:p>
        </w:tc>
        <w:tc>
          <w:tcPr>
            <w:tcW w:w="1086" w:type="dxa"/>
            <w:shd w:val="clear" w:color="auto" w:fill="FFFFFF" w:themeFill="background1"/>
            <w:vAlign w:val="center"/>
          </w:tcPr>
          <w:p w:rsidR="00B7768D" w:rsidRPr="00D70299" w:rsidRDefault="00B7768D" w:rsidP="0038710D">
            <w:pPr>
              <w:bidi/>
              <w:rPr>
                <w:rFonts w:cs="B Titr"/>
                <w:rtl/>
                <w:lang w:bidi="fa-IR"/>
              </w:rPr>
            </w:pPr>
            <w:r w:rsidRPr="00D94782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810" w:type="dxa"/>
            <w:shd w:val="clear" w:color="auto" w:fill="FFFFFF" w:themeFill="background1"/>
            <w:vAlign w:val="center"/>
          </w:tcPr>
          <w:p w:rsidR="00B7768D" w:rsidRDefault="00B7768D" w:rsidP="0038710D">
            <w:pPr>
              <w:bidi/>
              <w:rPr>
                <w:rFonts w:cs="B Titr"/>
                <w:rtl/>
                <w:lang w:bidi="fa-IR"/>
              </w:rPr>
            </w:pPr>
            <w:r w:rsidRPr="00D94782"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1019" w:type="dxa"/>
            <w:shd w:val="clear" w:color="auto" w:fill="FFFFFF" w:themeFill="background1"/>
            <w:vAlign w:val="center"/>
          </w:tcPr>
          <w:p w:rsidR="00B7768D" w:rsidRDefault="00B7768D" w:rsidP="0038710D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6:30 الی 13:00 </w:t>
            </w:r>
          </w:p>
        </w:tc>
        <w:tc>
          <w:tcPr>
            <w:tcW w:w="1426" w:type="dxa"/>
            <w:shd w:val="clear" w:color="auto" w:fill="FFFFFF" w:themeFill="background1"/>
          </w:tcPr>
          <w:p w:rsidR="00B7768D" w:rsidRDefault="00B7768D" w:rsidP="0038710D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1128</w:t>
            </w:r>
          </w:p>
        </w:tc>
        <w:tc>
          <w:tcPr>
            <w:tcW w:w="1924" w:type="dxa"/>
            <w:shd w:val="clear" w:color="auto" w:fill="FFFFFF" w:themeFill="background1"/>
          </w:tcPr>
          <w:p w:rsidR="00B7768D" w:rsidRPr="00D70299" w:rsidRDefault="00B7768D" w:rsidP="0038710D">
            <w:pPr>
              <w:bidi/>
              <w:rPr>
                <w:rFonts w:cs="B Titr"/>
                <w:rtl/>
                <w:lang w:bidi="fa-IR"/>
              </w:rPr>
            </w:pPr>
            <w:r w:rsidRPr="00D94782">
              <w:rPr>
                <w:rFonts w:cs="B Nazanin" w:hint="cs"/>
                <w:rtl/>
                <w:lang w:bidi="fa-IR"/>
              </w:rPr>
              <w:t>0</w:t>
            </w:r>
          </w:p>
        </w:tc>
      </w:tr>
    </w:tbl>
    <w:p w:rsidR="00B7768D" w:rsidRDefault="00B7768D" w:rsidP="0038710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  <w:rtl/>
        </w:rPr>
      </w:pPr>
    </w:p>
    <w:p w:rsidR="00B7768D" w:rsidRDefault="00B7768D" w:rsidP="0038710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B7768D" w:rsidRDefault="00B7768D" w:rsidP="0038710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B7768D" w:rsidRDefault="00B7768D" w:rsidP="0038710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bookmarkEnd w:id="0"/>
    <w:p w:rsidR="00B7768D" w:rsidRPr="00B7768D" w:rsidRDefault="00B7768D" w:rsidP="0038710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sectPr w:rsidR="00B7768D" w:rsidRPr="00B77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68D"/>
    <w:rsid w:val="0038710D"/>
    <w:rsid w:val="00B7768D"/>
    <w:rsid w:val="00E47C10"/>
    <w:rsid w:val="00F6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06827"/>
  <w15:chartTrackingRefBased/>
  <w15:docId w15:val="{199DC387-8045-416B-B2EF-376DFC9C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7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768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7768D"/>
    <w:rPr>
      <w:color w:val="0000FF"/>
      <w:u w:val="single"/>
    </w:rPr>
  </w:style>
  <w:style w:type="table" w:styleId="TableGrid">
    <w:name w:val="Table Grid"/>
    <w:basedOn w:val="TableNormal"/>
    <w:uiPriority w:val="39"/>
    <w:rsid w:val="00B77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5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/file/download/page/65e82840ba07e-1402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Ms.Nadi</dc:creator>
  <cp:keywords/>
  <dc:description/>
  <cp:lastModifiedBy>Ms.Nadi</cp:lastModifiedBy>
  <cp:revision>2</cp:revision>
  <cp:lastPrinted>2025-09-23T07:30:00Z</cp:lastPrinted>
  <dcterms:created xsi:type="dcterms:W3CDTF">2025-09-23T07:31:00Z</dcterms:created>
  <dcterms:modified xsi:type="dcterms:W3CDTF">2025-09-23T07:31:00Z</dcterms:modified>
</cp:coreProperties>
</file>