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0F654B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0F654B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0F654B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سم شناسی شغلی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16C0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E10A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A16C0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AE10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جلسه تئوری 8 جلسه عملی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E10AD" w:rsidRPr="00AE10AD">
              <w:rPr>
                <w:rFonts w:cs="B Zar" w:hint="cs"/>
                <w:sz w:val="24"/>
                <w:szCs w:val="24"/>
                <w:rtl/>
                <w:lang w:bidi="fa-IR"/>
              </w:rPr>
              <w:t>اصول سم شناسی و پایش بیولوژیک ،فیزیولوژی و کالبد شناسی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1401-1402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20/6/1401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22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E10AD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AE10AD" w:rsidRPr="006730D4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Calibri"/>
                <w:sz w:val="16"/>
                <w:szCs w:val="16"/>
                <w:lang w:bidi="fa-IR"/>
              </w:rPr>
              <w:t></w:t>
            </w:r>
            <w:r w:rsidRPr="006730D4">
              <w:rPr>
                <w:rFonts w:cs="B Nazanin" w:hint="cs"/>
                <w:sz w:val="16"/>
                <w:szCs w:val="16"/>
                <w:rtl/>
                <w:lang w:bidi="fa-IR"/>
              </w:rPr>
              <w:t>مروری بر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كليات و مقدمات سم شناسي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- تعاريف،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مفاهيم،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ضرورت،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نقش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اهميت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2- زمينه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قلمرو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فعاليت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رشته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مختلف 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3- مفهوم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كاربرد اصطلاحات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متداول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درک کند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4-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 حدود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مجاز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اصول سم شناسی فلزات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-تعریف 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فلزات  سمی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۲-انواع 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فلزات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۳-بیومارکرهای اختصاصی و غیر اختصاصی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۴-فاكتورهاي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۵-ارتباط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فلزی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۶-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کلاتورهای فلزات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(سرب،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ارسنيك،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جيوه،)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 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فلزات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lastRenderedPageBreak/>
              <w:t>درمان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(سایر فلزات)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سایر 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8535A7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3-</w:t>
            </w:r>
            <w:r w:rsidRPr="008535A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8535A7">
              <w:rPr>
                <w:rFonts w:cs="B Nazanin"/>
                <w:sz w:val="16"/>
                <w:szCs w:val="16"/>
                <w:rtl/>
                <w:lang w:bidi="fa-IR"/>
              </w:rPr>
              <w:t>مكانيسم</w:t>
            </w:r>
            <w:r w:rsidRPr="008535A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8535A7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آشنایی پیداکند.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FE5D40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lastRenderedPageBreak/>
              <w:t>درمان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ترك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یب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ماهيت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بشناسد.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نحوه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 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هپاتوتوكسيسيتي،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هماتوتوكسيسيتي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نوروتوكسيسيتي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lang w:bidi="fa-IR"/>
              </w:rPr>
              <w:t>BTEX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تعریف و مشخصات 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>BTEX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بنزن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تولوئن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شناسی اتیل بنزن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زایلن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مواد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سرطانزا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-مکانیسم سرطانزایی مواد شیمیایی خطرناک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سرطانزا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مطابق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. IARC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ACGIH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۳-نحوه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حفاظت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كارگران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برابر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عوامل سرطانزا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 ی کلره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توضیح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۲-راه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ورود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شرح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۳-ساختمان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بداند.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بشناسد.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۵-علائم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باليني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تشخیص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کلره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۷-اقدامات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گيري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 مختلف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ی کلره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 ی فسفره و کارباماتها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۲-راه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ورود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۳-ساختمان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۵-علائم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باليني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۷-اقدامات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گيري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 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گرد وغبارهای الی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گرد و غبارهای الی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گرد وغبارهای معدنی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گرد و غبارهای معدنی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گازها و بخارات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ترك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یب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ماهيت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شناسایی کند.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نحوه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هپاتوتوكسيسيتي،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هماتوتوكسيسيتي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نوروتوكسيسيتي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بیان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 شناسی 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منومرها و پلیمرها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منومر و پلیمر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را 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تعریف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انواع منومرها و پلیمرها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سم شناسی منومرها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بطور کامل یاد بگیرد.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سم شناسی پلیمرها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بطور کامل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شاه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طاهري،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سيد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جمال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الدين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شغلي،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فردا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1386</w:t>
            </w:r>
          </w:p>
          <w:p w:rsidR="00C4626A" w:rsidRPr="000F75B5" w:rsidRDefault="00C4626A" w:rsidP="0080220C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61351A" w:rsidP="0080220C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  <w:lang w:bidi="fa-IR"/>
              </w:rPr>
              <w:t>ثنایی غلامحسین، سم شناسی صنعتی، جلد 1و 2، انتشارت دانشگاه تهران،1388</w:t>
            </w:r>
          </w:p>
          <w:p w:rsidR="0080220C" w:rsidRPr="00B72870" w:rsidRDefault="0080220C" w:rsidP="0080220C">
            <w:pPr>
              <w:bidi/>
              <w:ind w:left="360"/>
              <w:jc w:val="center"/>
              <w:rPr>
                <w:rFonts w:asciiTheme="minorBidi" w:hAnsiTheme="minorBidi" w:cs="B Lotus"/>
                <w:sz w:val="16"/>
                <w:szCs w:val="16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</w:rPr>
              <w:t>جاجی قاسمخان، علیرضا، سم شناسی صنعتی،انتشارات برای فردا، 1386</w:t>
            </w: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1351A" w:rsidRPr="0061351A" w:rsidRDefault="000F654B" w:rsidP="0061351A">
            <w:pPr>
              <w:rPr>
                <w:rFonts w:cs="B Nazanin"/>
                <w:color w:val="000000"/>
                <w:lang w:bidi="fa-IR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begin"/>
            </w:r>
            <w:r w:rsidR="00AE10AD">
              <w:rPr>
                <w:rFonts w:ascii="Georgia" w:hAnsi="Georgia"/>
                <w:color w:val="000000"/>
                <w:sz w:val="17"/>
                <w:szCs w:val="17"/>
              </w:rPr>
              <w:instrText xml:space="preserve"> HYPERLINK "https://libgen.is/book/index.php?md5=8F5273C0A8D0C39E8A9E0200790CDA08" \o "" </w:instrText>
            </w: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separate"/>
            </w:r>
            <w:r w:rsidR="00AE10AD" w:rsidRPr="00AE10AD">
              <w:rPr>
                <w:rFonts w:cs="B Nazanin"/>
                <w:color w:val="000000"/>
                <w:lang w:bidi="fa-IR"/>
              </w:rPr>
              <w:br/>
              <w:t>Handbook of Industrial To</w:t>
            </w:r>
            <w:r w:rsidR="00AE10AD">
              <w:rPr>
                <w:rFonts w:cs="B Nazanin"/>
                <w:color w:val="000000"/>
                <w:lang w:bidi="fa-IR"/>
              </w:rPr>
              <w:t>xicology and Hazardous Material</w:t>
            </w:r>
            <w:r w:rsidR="0061351A">
              <w:rPr>
                <w:rFonts w:cs="B Nazanin"/>
                <w:color w:val="000000"/>
                <w:lang w:bidi="fa-IR"/>
              </w:rPr>
              <w:t>,</w:t>
            </w:r>
            <w:r w:rsidR="0061351A" w:rsidRPr="0061351A">
              <w:rPr>
                <w:rFonts w:cs="B Nazanin"/>
                <w:color w:val="000000"/>
                <w:lang w:bidi="fa-IR"/>
              </w:rPr>
              <w:t xml:space="preserve"> </w:t>
            </w:r>
            <w:hyperlink r:id="rId9" w:history="1">
              <w:r w:rsidR="0061351A" w:rsidRPr="0061351A">
                <w:rPr>
                  <w:rFonts w:cs="B Nazanin"/>
                  <w:color w:val="000000"/>
                  <w:lang w:bidi="fa-IR"/>
                </w:rPr>
                <w:t>Nicholas P. Cheremisinoff</w:t>
              </w:r>
            </w:hyperlink>
            <w:r w:rsidR="0061351A">
              <w:rPr>
                <w:rFonts w:cs="B Nazanin"/>
                <w:color w:val="000000"/>
                <w:lang w:bidi="fa-IR"/>
              </w:rPr>
              <w:t>,</w:t>
            </w:r>
            <w:r w:rsidR="0061351A" w:rsidRPr="0061351A">
              <w:rPr>
                <w:rFonts w:cs="B Nazanin"/>
                <w:color w:val="000000"/>
                <w:lang w:bidi="fa-IR"/>
              </w:rPr>
              <w:t xml:space="preserve"> Taylor &amp; Francis, 1999</w:t>
            </w:r>
          </w:p>
          <w:p w:rsidR="0080220C" w:rsidRPr="00B72870" w:rsidRDefault="000F654B" w:rsidP="0061351A">
            <w:pPr>
              <w:bidi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7A" w:rsidRDefault="00406A7A" w:rsidP="00C53370">
      <w:pPr>
        <w:spacing w:after="0" w:line="240" w:lineRule="auto"/>
      </w:pPr>
      <w:r>
        <w:separator/>
      </w:r>
    </w:p>
  </w:endnote>
  <w:endnote w:type="continuationSeparator" w:id="1">
    <w:p w:rsidR="00406A7A" w:rsidRDefault="00406A7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0F654B" w:rsidP="00C53370">
        <w:pPr>
          <w:pStyle w:val="Footer"/>
          <w:bidi/>
          <w:jc w:val="center"/>
        </w:pPr>
        <w:fldSimple w:instr=" PAGE   \* MERGEFORMAT ">
          <w:r w:rsidR="00006280">
            <w:rPr>
              <w:noProof/>
              <w:rtl/>
            </w:rPr>
            <w:t>8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7A" w:rsidRDefault="00406A7A" w:rsidP="00C53370">
      <w:pPr>
        <w:spacing w:after="0" w:line="240" w:lineRule="auto"/>
      </w:pPr>
      <w:r>
        <w:separator/>
      </w:r>
    </w:p>
  </w:footnote>
  <w:footnote w:type="continuationSeparator" w:id="1">
    <w:p w:rsidR="00406A7A" w:rsidRDefault="00406A7A" w:rsidP="00C53370">
      <w:pPr>
        <w:spacing w:after="0" w:line="240" w:lineRule="auto"/>
      </w:pPr>
      <w:r>
        <w:continuationSeparator/>
      </w:r>
    </w:p>
  </w:footnote>
  <w:footnote w:id="2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06280"/>
    <w:rsid w:val="00010EA2"/>
    <w:rsid w:val="000356AB"/>
    <w:rsid w:val="000374E2"/>
    <w:rsid w:val="000C224F"/>
    <w:rsid w:val="000D0E8D"/>
    <w:rsid w:val="000F654B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E180A"/>
    <w:rsid w:val="003F0083"/>
    <w:rsid w:val="00406A7A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1351A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9019B1"/>
    <w:rsid w:val="00916B59"/>
    <w:rsid w:val="009249E1"/>
    <w:rsid w:val="00961E78"/>
    <w:rsid w:val="00973120"/>
    <w:rsid w:val="009850DE"/>
    <w:rsid w:val="00A16C0C"/>
    <w:rsid w:val="00A21521"/>
    <w:rsid w:val="00A27E86"/>
    <w:rsid w:val="00A30B34"/>
    <w:rsid w:val="00A36F74"/>
    <w:rsid w:val="00A66694"/>
    <w:rsid w:val="00A961C1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2109"/>
    <w:rsid w:val="00E13EA1"/>
    <w:rsid w:val="00E369B0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gen.is/search.php?req=Nicholas+P.+Cheremisinoff&amp;column=autho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CD39-6C63-44B7-9DBA-FAB36EC1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new</cp:lastModifiedBy>
  <cp:revision>2</cp:revision>
  <cp:lastPrinted>2019-12-07T06:13:00Z</cp:lastPrinted>
  <dcterms:created xsi:type="dcterms:W3CDTF">2022-09-11T07:17:00Z</dcterms:created>
  <dcterms:modified xsi:type="dcterms:W3CDTF">2022-09-11T07:17:00Z</dcterms:modified>
</cp:coreProperties>
</file>